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On the menu: Jerk Chicken Jamaica  </w:t>
      </w:r>
    </w:p>
    <w:tbl>
      <w:tblPr>
        <w:tblStyle w:val="Table1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962"/>
        <w:tblGridChange w:id="0">
          <w:tblGrid>
            <w:gridCol w:w="5665"/>
            <w:gridCol w:w="4962"/>
          </w:tblGrid>
        </w:tblGridChange>
      </w:tblGrid>
      <w:tr>
        <w:trPr>
          <w:trHeight w:val="57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Ingredients &amp; Equipment  </w:t>
            </w:r>
          </w:p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  boneless chicken thighs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1 </w:t>
            </w: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lime,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halved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the marinade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big bunch 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spring onions,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roughly chopped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chilli if you like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thumb-sized 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piece ginger,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roughly chopped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3 </w:t>
            </w: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garlic cloves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a small 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onion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tsp </w:t>
            </w: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dried thyme,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or 1 tbsp thyme leaves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1 </w:t>
            </w: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lime,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juiced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tbsp </w:t>
            </w: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soy sauce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tbsp vegetable oil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tbsp </w:t>
            </w: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brown sugar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tbsp ground allspice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200g </w:t>
            </w: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basmati rice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400g can </w:t>
            </w: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coconut milk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Handful of frozen peas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6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ind w:left="720" w:firstLine="0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You’ll also need: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ind w:left="72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Frying pan, mixing bowl, food blender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STEP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To make the jerk marinade, combine the spring onions, ginger, garlic, onion, thyme, lime juice, soy sauce, vegetable oil, brown sugar and ground allspice in a </w:t>
            </w: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  <w:rtl w:val="0"/>
                </w:rPr>
                <w:t xml:space="preserve">food processor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 along with 1 tsp salt, and blend to a purée. If you’re having trouble getting it to blend, just keep turning off the blender, stirring the mixture, and trying again. Eventually it will start to blend up – don’t be tempted to add water, as you want a thick paste.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STEP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Taste the jerk mixture for seasoning – it should taste pretty salty, but not unpleasantly, puckering salty. You can now add chillies if you like. If it tastes too salty and sour, try adding in a bit more brown sugar until the mixture tastes well balanced.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STEP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Make a few </w:t>
            </w: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  <w:rtl w:val="0"/>
                </w:rPr>
                <w:t xml:space="preserve">slashes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 in 12 chicken thighs and pour the marinade over the meat, rubbing it into all the crevices. Cover and leave to marinate in the fridge.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STEP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To cook in the oven, heat to 180C/160C fan/gas 4. Put the chicken pieces in a </w:t>
            </w: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  <w:rtl w:val="0"/>
                </w:rPr>
                <w:t xml:space="preserve">roasting tin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 with the halved lime and cook for 45 mins until tender and cooked through.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STEP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7"/>
                <w:szCs w:val="27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While the chicken is cooking, prepare the rice &amp; peas. Rinse the basmati rice in plenty of cold water, then tip it into a large </w:t>
            </w: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7"/>
                  <w:szCs w:val="27"/>
                  <w:u w:val="none"/>
                  <w:shd w:fill="auto" w:val="clear"/>
                  <w:vertAlign w:val="baseline"/>
                  <w:rtl w:val="0"/>
                </w:rPr>
                <w:t xml:space="preserve">saucepan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. Add the coconut milk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STEP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7"/>
                <w:szCs w:val="27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Season with salt, add 300ml cold water and set over a high heat. Once the rice begins to boil, turn it down to a medium heat add the peas and  cover and cook for 10 mins.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STEP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7"/>
                <w:szCs w:val="27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Squeeze the roasted lime over the chicken and serve with the rice &amp; peas, and some hot sauce if you like it really spicy.</w:t>
            </w:r>
          </w:p>
          <w:p w:rsidR="00000000" w:rsidDel="00000000" w:rsidP="00000000" w:rsidRDefault="00000000" w:rsidRPr="00000000" w14:paraId="0000002E">
            <w:pPr>
              <w:pStyle w:val="Heading3"/>
              <w:rPr>
                <w:rFonts w:ascii="Helvetica Neue" w:cs="Helvetica Neue" w:eastAsia="Helvetica Neue" w:hAnsi="Helvetica Neue"/>
                <w:b w:val="0"/>
                <w:color w:val="333333"/>
                <w:sz w:val="27"/>
                <w:szCs w:val="2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\Plan Ahead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Preparation:</w:t>
            </w:r>
            <w:r w:rsidDel="00000000" w:rsidR="00000000" w:rsidRPr="00000000">
              <w:rPr>
                <w:rtl w:val="0"/>
              </w:rPr>
              <w:t xml:space="preserve"> We’ll be making and cooking a delicious meal together with Chef Gavin.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If it would help the people you support, there are opportunities to prepare some of the more challenging tasks before the session. 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Managing Risk</w:t>
            </w:r>
            <w:r w:rsidDel="00000000" w:rsidR="00000000" w:rsidRPr="00000000">
              <w:rPr>
                <w:rtl w:val="0"/>
              </w:rPr>
              <w:t xml:space="preserve">: We’re frying on the hob. This will mean the possibility of oil spitting so please be careful </w:t>
            </w:r>
          </w:p>
          <w:p w:rsidR="00000000" w:rsidDel="00000000" w:rsidP="00000000" w:rsidRDefault="00000000" w:rsidRPr="00000000" w14:paraId="0000003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By reviewing the method </w:t>
            </w:r>
            <w:r w:rsidDel="00000000" w:rsidR="00000000" w:rsidRPr="00000000">
              <w:rPr>
                <w:i w:val="1"/>
                <w:rtl w:val="0"/>
              </w:rPr>
              <w:t xml:space="preserve">(see right hand column) </w:t>
            </w:r>
            <w:r w:rsidDel="00000000" w:rsidR="00000000" w:rsidRPr="00000000">
              <w:rPr>
                <w:rtl w:val="0"/>
              </w:rPr>
              <w:t xml:space="preserve">ahead of the session, you can safely plan these activities in advance.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br w:type="textWrapping"/>
        <w:t xml:space="preserve">Top Tips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Put the people you support in control: </w:t>
      </w:r>
      <w:r w:rsidDel="00000000" w:rsidR="00000000" w:rsidRPr="00000000">
        <w:rPr>
          <w:color w:val="000000"/>
          <w:rtl w:val="0"/>
        </w:rPr>
        <w:t xml:space="preserve">Try to give them as many opportunities as possible to independently lead this activity and enjoy the experience of cooking.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they struggle with some parts, adapt the activity so they can still help make their meal with your support, guidance, and encouragement.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Make every moment matter: </w:t>
      </w:r>
      <w:r w:rsidDel="00000000" w:rsidR="00000000" w:rsidRPr="00000000">
        <w:rPr>
          <w:color w:val="000000"/>
          <w:rtl w:val="0"/>
        </w:rPr>
        <w:t xml:space="preserve">Try and make this session fun and engaging. Celebrate successes by give encouragement. Enjoy the sensory experiences of cooking. Engage them in seeing their raw ingredients transform into a delicious </w:t>
      </w:r>
      <w:r w:rsidDel="00000000" w:rsidR="00000000" w:rsidRPr="00000000">
        <w:rPr>
          <w:rtl w:val="0"/>
        </w:rPr>
        <w:t xml:space="preserve">meal.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Make this the start of something special: </w:t>
      </w:r>
      <w:r w:rsidDel="00000000" w:rsidR="00000000" w:rsidRPr="00000000">
        <w:rPr>
          <w:color w:val="000000"/>
          <w:rtl w:val="0"/>
        </w:rPr>
        <w:t xml:space="preserve">After they’ve </w:t>
      </w:r>
      <w:r w:rsidDel="00000000" w:rsidR="00000000" w:rsidRPr="00000000">
        <w:rPr>
          <w:rtl w:val="0"/>
        </w:rPr>
        <w:t xml:space="preserve">cooked their meal</w:t>
      </w:r>
      <w:r w:rsidDel="00000000" w:rsidR="00000000" w:rsidRPr="00000000">
        <w:rPr>
          <w:color w:val="000000"/>
          <w:rtl w:val="0"/>
        </w:rPr>
        <w:t xml:space="preserve">, make eating it a special experience! Hopefully, they can enjoy eating a lovely home-cooked</w:t>
      </w:r>
      <w:r w:rsidDel="00000000" w:rsidR="00000000" w:rsidRPr="00000000">
        <w:rPr>
          <w:rtl w:val="0"/>
        </w:rPr>
        <w:t xml:space="preserve"> treat</w:t>
      </w:r>
      <w:r w:rsidDel="00000000" w:rsidR="00000000" w:rsidRPr="00000000">
        <w:rPr>
          <w:color w:val="000000"/>
          <w:rtl w:val="0"/>
        </w:rPr>
        <w:t xml:space="preserve">. Are there any people they’d like to save some for or to taste it?</w:t>
        <w:br w:type="textWrapping"/>
        <w:t xml:space="preserve">Try this recipe again soon. The more that you practice, the better their cookery skills will develop. You can watch the session again on our activities 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Promoting Life Skills –</w:t>
      </w:r>
      <w:r w:rsidDel="00000000" w:rsidR="00000000" w:rsidRPr="00000000">
        <w:rPr>
          <w:color w:val="000000"/>
          <w:rtl w:val="0"/>
        </w:rPr>
        <w:t xml:space="preserve"> What other life skills can this develop? From this activity, you have an opportunity to explore shopping, budgeting, cleaning, setting a table, hosting a meal and more!  Use these cookery sessions as a way to inspire further progress. </w:t>
      </w: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headerReference r:id="rId24" w:type="even"/>
      <w:footerReference r:id="rId25" w:type="default"/>
      <w:footerReference r:id="rId26" w:type="first"/>
      <w:footerReference r:id="rId27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-120013</wp:posOffset>
          </wp:positionV>
          <wp:extent cx="1086485" cy="68453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6485" cy="6845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5779135</wp:posOffset>
          </wp:positionH>
          <wp:positionV relativeFrom="paragraph">
            <wp:posOffset>-177163</wp:posOffset>
          </wp:positionV>
          <wp:extent cx="866775" cy="86677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b w:val="1"/>
        <w:color w:val="00b0f0"/>
        <w:sz w:val="36"/>
        <w:szCs w:val="36"/>
      </w:rPr>
    </w:pPr>
    <w:r w:rsidDel="00000000" w:rsidR="00000000" w:rsidRPr="00000000">
      <w:rPr>
        <w:b w:val="1"/>
        <w:color w:val="000000"/>
        <w:sz w:val="36"/>
        <w:szCs w:val="36"/>
        <w:rtl w:val="0"/>
      </w:rPr>
      <w:tab/>
    </w:r>
    <w:r w:rsidDel="00000000" w:rsidR="00000000" w:rsidRPr="00000000">
      <w:rPr>
        <w:b w:val="1"/>
        <w:color w:val="00b0f0"/>
        <w:sz w:val="36"/>
        <w:szCs w:val="36"/>
        <w:rtl w:val="0"/>
      </w:rPr>
      <w:t xml:space="preserve">Cook-along-live</w:t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6" w:lineRule="auto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6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6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6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6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6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0122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6" w:lineRule="auto"/>
      <w:outlineLvl w:val="0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6" w:lineRule="auto"/>
      <w:outlineLvl w:val="1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6" w:lineRule="auto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6" w:lineRule="auto"/>
      <w:outlineLvl w:val="3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6" w:lineRule="auto"/>
      <w:outlineLvl w:val="4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6" w:lineRule="auto"/>
      <w:outlineLvl w:val="5"/>
    </w:pPr>
    <w:rPr>
      <w:rFonts w:ascii="Calibri" w:cs="Calibri" w:eastAsia="Calibri" w:hAnsi="Calibri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6" w:lineRule="auto"/>
    </w:pPr>
    <w:rPr>
      <w:rFonts w:ascii="Calibri" w:cs="Calibri" w:eastAsia="Calibri" w:hAnsi="Calibri"/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C15C44"/>
    <w:pPr>
      <w:tabs>
        <w:tab w:val="center" w:pos="4513"/>
        <w:tab w:val="right" w:pos="9026"/>
      </w:tabs>
    </w:pPr>
    <w:rPr>
      <w:rFonts w:ascii="Calibri" w:cs="Calibri" w:eastAsia="Calibri" w:hAnsi="Calibr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C15C44"/>
  </w:style>
  <w:style w:type="paragraph" w:styleId="Footer">
    <w:name w:val="footer"/>
    <w:basedOn w:val="Normal"/>
    <w:link w:val="FooterChar"/>
    <w:uiPriority w:val="99"/>
    <w:unhideWhenUsed w:val="1"/>
    <w:rsid w:val="00C15C44"/>
    <w:pPr>
      <w:tabs>
        <w:tab w:val="center" w:pos="4513"/>
        <w:tab w:val="right" w:pos="9026"/>
      </w:tabs>
    </w:pPr>
    <w:rPr>
      <w:rFonts w:ascii="Calibri" w:cs="Calibri" w:eastAsia="Calibri" w:hAnsi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C15C44"/>
  </w:style>
  <w:style w:type="paragraph" w:styleId="ListParagraph">
    <w:name w:val="List Paragraph"/>
    <w:basedOn w:val="Normal"/>
    <w:uiPriority w:val="34"/>
    <w:qFormat w:val="1"/>
    <w:rsid w:val="00C15C44"/>
    <w:pPr>
      <w:spacing w:after="160" w:line="256" w:lineRule="auto"/>
      <w:ind w:left="720"/>
      <w:contextualSpacing w:val="1"/>
    </w:pPr>
    <w:rPr>
      <w:rFonts w:ascii="Calibri" w:cs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15C44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178C"/>
    <w:rPr>
      <w:rFonts w:ascii="Tahoma" w:cs="Tahoma" w:eastAsia="Calibri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178C"/>
    <w:rPr>
      <w:rFonts w:ascii="Tahoma" w:cs="Tahoma" w:hAnsi="Tahoma"/>
      <w:sz w:val="16"/>
      <w:szCs w:val="16"/>
    </w:rPr>
  </w:style>
  <w:style w:type="character" w:styleId="wprm-recipe-ingredient-amount" w:customStyle="1">
    <w:name w:val="wprm-recipe-ingredient-amount"/>
    <w:basedOn w:val="DefaultParagraphFont"/>
    <w:rsid w:val="005E0FD2"/>
  </w:style>
  <w:style w:type="character" w:styleId="wprm-recipe-ingredient-unit" w:customStyle="1">
    <w:name w:val="wprm-recipe-ingredient-unit"/>
    <w:basedOn w:val="DefaultParagraphFont"/>
    <w:rsid w:val="005E0FD2"/>
  </w:style>
  <w:style w:type="character" w:styleId="wprm-recipe-ingredient-name" w:customStyle="1">
    <w:name w:val="wprm-recipe-ingredient-name"/>
    <w:basedOn w:val="DefaultParagraphFont"/>
    <w:rsid w:val="005E0FD2"/>
  </w:style>
  <w:style w:type="character" w:styleId="wprm-recipe-ingredient-notes" w:customStyle="1">
    <w:name w:val="wprm-recipe-ingredient-notes"/>
    <w:basedOn w:val="DefaultParagraphFont"/>
    <w:rsid w:val="005E0FD2"/>
  </w:style>
  <w:style w:type="paragraph" w:styleId="recipe-ingredientslist-item" w:customStyle="1">
    <w:name w:val="recipe-ingredients__list-item"/>
    <w:basedOn w:val="Normal"/>
    <w:rsid w:val="006E5028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pb-xxs" w:customStyle="1">
    <w:name w:val="pb-xxs"/>
    <w:basedOn w:val="Normal"/>
    <w:rsid w:val="00A80EF2"/>
    <w:pPr>
      <w:spacing w:after="100" w:afterAutospacing="1" w:before="100" w:beforeAutospacing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A80EF2"/>
    <w:rPr>
      <w:color w:val="0000ff"/>
      <w:u w:val="single"/>
    </w:rPr>
  </w:style>
  <w:style w:type="paragraph" w:styleId="pb-xs" w:customStyle="1">
    <w:name w:val="pb-xs"/>
    <w:basedOn w:val="Normal"/>
    <w:rsid w:val="00A80EF2"/>
    <w:pPr>
      <w:spacing w:after="100" w:afterAutospacing="1" w:before="100" w:beforeAutospacing="1"/>
    </w:pPr>
  </w:style>
  <w:style w:type="character" w:styleId="mb-xxs" w:customStyle="1">
    <w:name w:val="mb-xxs"/>
    <w:basedOn w:val="DefaultParagraphFont"/>
    <w:rsid w:val="00A80EF2"/>
  </w:style>
  <w:style w:type="paragraph" w:styleId="NormalWeb">
    <w:name w:val="Normal (Web)"/>
    <w:basedOn w:val="Normal"/>
    <w:uiPriority w:val="99"/>
    <w:unhideWhenUsed w:val="1"/>
    <w:rsid w:val="00A80EF2"/>
    <w:pPr>
      <w:spacing w:after="100" w:afterAutospacing="1" w:before="100" w:beforeAutospacing="1"/>
    </w:pPr>
  </w:style>
  <w:style w:type="character" w:styleId="Strong">
    <w:name w:val="Strong"/>
    <w:basedOn w:val="DefaultParagraphFont"/>
    <w:uiPriority w:val="22"/>
    <w:qFormat w:val="1"/>
    <w:rsid w:val="009B3322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66CCE"/>
    <w:rPr>
      <w:color w:val="954f72" w:themeColor="followedHyperlink"/>
      <w:u w:val="single"/>
    </w:rPr>
  </w:style>
  <w:style w:type="paragraph" w:styleId="recipe-methodlist-item-text" w:customStyle="1">
    <w:name w:val="recipe-method__list-item-text"/>
    <w:basedOn w:val="Normal"/>
    <w:rsid w:val="001724C8"/>
    <w:pPr>
      <w:spacing w:after="100" w:afterAutospacing="1" w:before="100" w:beforeAutospacing="1"/>
    </w:pPr>
  </w:style>
  <w:style w:type="paragraph" w:styleId="wprm-recipe-ingredient" w:customStyle="1">
    <w:name w:val="wprm-recipe-ingredient"/>
    <w:basedOn w:val="Normal"/>
    <w:rsid w:val="008E75D4"/>
    <w:pPr>
      <w:spacing w:after="100" w:afterAutospacing="1" w:before="100" w:beforeAutospacing="1"/>
    </w:pPr>
  </w:style>
  <w:style w:type="character" w:styleId="sr-only" w:customStyle="1">
    <w:name w:val="sr-only"/>
    <w:basedOn w:val="DefaultParagraphFont"/>
    <w:rsid w:val="008E75D4"/>
  </w:style>
  <w:style w:type="paragraph" w:styleId="wprm-recipe-instruction" w:customStyle="1">
    <w:name w:val="wprm-recipe-instruction"/>
    <w:basedOn w:val="Normal"/>
    <w:rsid w:val="00AE120E"/>
    <w:pPr>
      <w:spacing w:after="100" w:afterAutospacing="1" w:before="100" w:beforeAutospacing="1"/>
    </w:pPr>
  </w:style>
  <w:style w:type="paragraph" w:styleId="sc-pnwdm" w:customStyle="1">
    <w:name w:val="sc-pnwdm"/>
    <w:basedOn w:val="Normal"/>
    <w:rsid w:val="002E7046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bcgoodfood.com/review/test-five-best-roasting-tins" TargetMode="External"/><Relationship Id="rId22" Type="http://schemas.openxmlformats.org/officeDocument/2006/relationships/header" Target="header1.xml"/><Relationship Id="rId21" Type="http://schemas.openxmlformats.org/officeDocument/2006/relationships/hyperlink" Target="https://www.bbcgoodfood.com/content/five-best-saucepans" TargetMode="External"/><Relationship Id="rId24" Type="http://schemas.openxmlformats.org/officeDocument/2006/relationships/header" Target="header2.xm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goodfood.com/glossary/ginger-glossary" TargetMode="External"/><Relationship Id="rId26" Type="http://schemas.openxmlformats.org/officeDocument/2006/relationships/footer" Target="footer2.xml"/><Relationship Id="rId25" Type="http://schemas.openxmlformats.org/officeDocument/2006/relationships/footer" Target="footer3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bcgoodfood.com/glossary/lime-glossary" TargetMode="External"/><Relationship Id="rId8" Type="http://schemas.openxmlformats.org/officeDocument/2006/relationships/hyperlink" Target="https://www.bbcgoodfood.com/glossary/spring-onion-glossary" TargetMode="External"/><Relationship Id="rId11" Type="http://schemas.openxmlformats.org/officeDocument/2006/relationships/hyperlink" Target="https://www.bbcgoodfood.com/glossary/onion-glossary" TargetMode="External"/><Relationship Id="rId10" Type="http://schemas.openxmlformats.org/officeDocument/2006/relationships/hyperlink" Target="https://www.bbcgoodfood.com/glossary/garlic-glossary" TargetMode="External"/><Relationship Id="rId13" Type="http://schemas.openxmlformats.org/officeDocument/2006/relationships/hyperlink" Target="https://www.bbcgoodfood.com/glossary/lime-glossary" TargetMode="External"/><Relationship Id="rId12" Type="http://schemas.openxmlformats.org/officeDocument/2006/relationships/hyperlink" Target="https://www.bbcgoodfood.com/glossary/thyme-glossary" TargetMode="External"/><Relationship Id="rId15" Type="http://schemas.openxmlformats.org/officeDocument/2006/relationships/hyperlink" Target="https://www.bbcgoodfood.com/glossary/sugar-glossary" TargetMode="External"/><Relationship Id="rId14" Type="http://schemas.openxmlformats.org/officeDocument/2006/relationships/hyperlink" Target="https://www.bbcgoodfood.com/glossary/soy-sauce-glossary" TargetMode="External"/><Relationship Id="rId17" Type="http://schemas.openxmlformats.org/officeDocument/2006/relationships/hyperlink" Target="https://www.bbcgoodfood.com/glossary/coconut-milk-glossary" TargetMode="External"/><Relationship Id="rId16" Type="http://schemas.openxmlformats.org/officeDocument/2006/relationships/hyperlink" Target="https://www.bbcgoodfood.com/glossary/rice-glossary" TargetMode="External"/><Relationship Id="rId19" Type="http://schemas.openxmlformats.org/officeDocument/2006/relationships/hyperlink" Target="https://www.bbcgoodfood.com/content/top-five-cooks-knives" TargetMode="External"/><Relationship Id="rId18" Type="http://schemas.openxmlformats.org/officeDocument/2006/relationships/hyperlink" Target="https://www.bbcgoodfood.com/content/test-five-best-food-processo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A08B4kHzd8w9dZpa8yoxT7CsA==">AMUW2mU8JMngxQ8o2h7+S1r8IQNGKqxnRczV4Cf5VytxNqywuMr/kBDdr1fJFqaaVVVioI9p1PsEMz7a75pwjilziGIfepx8HbERcVaNI85OGAIDOQIMfT0=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2021-03-26T11:25:00Z</dcterms:created>
  <dc:creator>John Hughes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516528255</vt:i4>
  </property>
</Properties>
</file>